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福建省瀚海船业有限公司 清洁生产审核互联网环境信息公开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为保护和改善环境，同时也为了提高公司资源利用效率、减少污染物排放，我公司自2023年2月开始全面启动清洁生产审核工作。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根据《中华人民共和国清洁生产促进法》、《清洁生产审核办法》、及福建省生态环境厅于2022年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ascii="宋体" w:hAnsi="宋体" w:eastAsia="宋体" w:cs="宋体"/>
          <w:sz w:val="24"/>
          <w:szCs w:val="24"/>
        </w:rPr>
        <w:t>日发布的《福建省生态环境厅关于公布2022年第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ascii="宋体" w:hAnsi="宋体" w:eastAsia="宋体" w:cs="宋体"/>
          <w:sz w:val="24"/>
          <w:szCs w:val="24"/>
        </w:rPr>
        <w:t>批实施强制性清洁生产审核相关企业名单的通知》（闽环保科财〔2022〕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</w:t>
      </w:r>
      <w:r>
        <w:rPr>
          <w:rFonts w:ascii="宋体" w:hAnsi="宋体" w:eastAsia="宋体" w:cs="宋体"/>
          <w:sz w:val="24"/>
          <w:szCs w:val="24"/>
        </w:rPr>
        <w:t>号）的要求，将我公司的相关信息公示如下：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ascii="宋体" w:hAnsi="宋体" w:eastAsia="宋体" w:cs="宋体"/>
          <w:sz w:val="24"/>
          <w:szCs w:val="24"/>
        </w:rPr>
        <w:t>基础信息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单位名称：福建省瀚海船业有限公司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法定代表人：王进建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</w:rPr>
        <w:t>联系人及电话：</w:t>
      </w:r>
      <w:r>
        <w:rPr>
          <w:rFonts w:hint="eastAsia"/>
          <w:sz w:val="24"/>
          <w:szCs w:val="24"/>
          <w:lang w:val="en-US" w:eastAsia="zh-CN"/>
        </w:rPr>
        <w:t>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13706981531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统一社会信用代码：</w:t>
      </w:r>
      <w:r>
        <w:rPr>
          <w:rFonts w:hint="eastAsia" w:ascii="宋体" w:hAnsi="宋体" w:eastAsia="宋体" w:cs="宋体"/>
          <w:sz w:val="24"/>
          <w:szCs w:val="24"/>
        </w:rPr>
        <w:t>913501221547093039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建设地址：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连江县安凯乡文湾港区</w:t>
      </w:r>
    </w:p>
    <w:p>
      <w:pPr>
        <w:keepNext w:val="0"/>
        <w:keepLines w:val="0"/>
        <w:pageBreakBefore w:val="0"/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建设规模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1万吨、3万吨、6万吨等3个船坞和8000吨船台，年修船量约258艘、总吨位约105万吨。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ascii="宋体" w:hAnsi="宋体" w:eastAsia="宋体" w:cs="宋体"/>
          <w:sz w:val="24"/>
          <w:szCs w:val="24"/>
        </w:rPr>
        <w:t>排污信息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b/>
          <w:bCs/>
          <w:sz w:val="24"/>
          <w:szCs w:val="24"/>
        </w:rPr>
        <w:t>废水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①舱底含油污水、船舶舱室清洗废水委托福州加利亚船舶服务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有限公司清理和外运至福建众善航环保科技有限公司处理；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②地面清洗废水经船坞内集水池(1万吨、3万吨、6万吨船坞容积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分别为5m³、8m³、10m³)沉淀、由厂区内油水分离器处理后排入黄岐湾。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③生活污水经化粪池处理纳入文湾村污水处理站处理后排入黄岐湾。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排放符合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《船舶压载水和沉积物管理监督管理办法(试行)》、且符合《海水水质标准》(GB3097-1997)中二类水质标准要求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舱底含油污水的处理符合《船舶修造和拆解单位防污染设施设备配备及操作要求》(JT/T787-2010)的要求。船舶舱室清洗废水的处理符合《船舶修造和拆解单位防污染设施设备配备及操作要求》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(JT/T787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-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2010)的要求。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>生活污水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经化粪池处理后纳入文湾村污水处理站处理达标后排放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超标情况：无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b/>
          <w:bCs/>
          <w:sz w:val="24"/>
          <w:szCs w:val="24"/>
        </w:rPr>
        <w:t>废气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废气主要来源于喷漆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产生的有机废气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喷砂粉尘、焊接烟尘、切割粉尘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①涂装废气:在船坞配备移动式油漆废气收集处理装置，收集处理工艺为:移动式帆布集气罩收集+过滤棉+活性炭吸附装置，涂装废气经处理后无组织排放。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②喷砂粉尘:经移动式布袋除尘装置收集处理后无组织排放。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③焊接烟尘:项目配套移动式焊接烟尘净化装置，收集处理后无组织排放。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④切割粉尘:无组织排放。</w:t>
      </w:r>
    </w:p>
    <w:p>
      <w:pPr>
        <w:keepNext w:val="0"/>
        <w:keepLines w:val="0"/>
        <w:pageBreakBefore w:val="0"/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rPr>
          <w:rFonts w:hint="default" w:ascii="Calibri" w:hAnsi="Calibri" w:cs="Calibri" w:eastAsiaTheme="minorEastAsia"/>
          <w:color w:val="auto"/>
          <w:sz w:val="24"/>
          <w:szCs w:val="24"/>
        </w:rPr>
      </w:pPr>
      <w:r>
        <w:rPr>
          <w:rFonts w:hint="eastAsia" w:ascii="Calibri" w:hAnsi="Calibri" w:cs="Calibri"/>
          <w:color w:val="auto"/>
          <w:sz w:val="24"/>
          <w:szCs w:val="24"/>
          <w:lang w:val="en-US" w:eastAsia="zh-CN"/>
        </w:rPr>
        <w:t>排放符合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>《大气污染物综合排放标准》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(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>GB16297-1996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)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>中的无组织排放监控浓度限值要求</w:t>
      </w:r>
      <w:r>
        <w:rPr>
          <w:rFonts w:hint="eastAsia" w:ascii="Calibri" w:hAnsi="Calibri" w:cs="Calibri"/>
          <w:color w:val="auto"/>
          <w:sz w:val="24"/>
          <w:szCs w:val="24"/>
          <w:lang w:eastAsia="zh-CN"/>
        </w:rPr>
        <w:t>、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《工业涂装工序挥发性有机物排放标准》(DB35/1783-2018)中表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船舶制造的船台涂装的排放限值</w:t>
      </w:r>
      <w:r>
        <w:rPr>
          <w:rFonts w:hint="eastAsia" w:ascii="Calibri" w:hAnsi="Calibri" w:cs="Calibri"/>
          <w:color w:val="auto"/>
          <w:sz w:val="24"/>
          <w:szCs w:val="24"/>
          <w:lang w:eastAsia="zh-CN"/>
        </w:rPr>
        <w:t>、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《挥发性有机物无组织排放控制标准》(GB37822-2019)</w:t>
      </w:r>
      <w:r>
        <w:rPr>
          <w:rFonts w:hint="eastAsia" w:ascii="Calibri" w:hAnsi="Calibri" w:cs="Calibri"/>
          <w:color w:val="auto"/>
          <w:sz w:val="24"/>
          <w:szCs w:val="24"/>
          <w:lang w:eastAsia="zh-CN"/>
        </w:rPr>
        <w:t>、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《工业涂装工序挥发性有机物排放标准》(DB35/1783-2018)中表3船舶制造的船台涂装的排放限值。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超标情况：无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固体废物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topLinePunct/>
        <w:bidi w:val="0"/>
        <w:adjustRightInd w:val="0"/>
        <w:snapToGrid w:val="0"/>
        <w:spacing w:line="360" w:lineRule="auto"/>
        <w:ind w:leftChars="200" w:right="0" w:rightChars="0"/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(4)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危废间建设情况</w:t>
      </w:r>
    </w:p>
    <w:p>
      <w:pPr>
        <w:keepNext w:val="0"/>
        <w:keepLines w:val="0"/>
        <w:pageBreakBefore w:val="0"/>
        <w:widowControl w:val="0"/>
        <w:kinsoku/>
        <w:overflowPunct/>
        <w:bidi w:val="0"/>
        <w:adjustRightInd w:val="0"/>
        <w:snapToGrid w:val="0"/>
        <w:spacing w:line="360" w:lineRule="auto"/>
        <w:ind w:left="0" w:leftChars="0" w:firstLine="480" w:firstLineChars="200"/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</w:rPr>
        <w:t>危废间设立于厂内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西侧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>，占地面积约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150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eastAsia="zh-CN"/>
        </w:rPr>
        <w:t>m²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>，采取地面硬化+刷环氧树脂漆，分类设置固体危废和液体危废区，并设置导流沟+收集池。</w:t>
      </w:r>
      <w:r>
        <w:rPr>
          <w:rFonts w:hint="eastAsia" w:ascii="Calibri" w:hAnsi="Calibri" w:cs="Calibri"/>
          <w:color w:val="auto"/>
          <w:sz w:val="24"/>
          <w:szCs w:val="24"/>
          <w:lang w:val="en-US" w:eastAsia="zh-CN"/>
        </w:rPr>
        <w:t>危险废物分类收集后暂存危废间，委托有资质单位处置。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(5)一般固体废物</w:t>
      </w:r>
    </w:p>
    <w:p>
      <w:pPr>
        <w:keepNext w:val="0"/>
        <w:keepLines w:val="0"/>
        <w:pageBreakBefore w:val="0"/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项目产生的一般固体废物主要有钢材切割废料、废焊料焊渣、废砂和锈渣等，其中钢材切割废料、废焊料焊渣、锈渣产生后堆存于一般固废堆场，项目一般固废堆场地面已硬化，但未设雨棚，为露天堆放；定期作为其他再生资源回收加工厂的生产原料进行销售。废砂产生后，经收集装袋堆存于一般固废堆场，定期外运填方。船坞底泥在船舶进坞后清理至坞底内侧，晾干后外运填方。</w:t>
      </w:r>
    </w:p>
    <w:p>
      <w:pPr>
        <w:keepNext w:val="0"/>
        <w:keepLines w:val="0"/>
        <w:pageBreakBefore w:val="0"/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(6)生活垃圾</w:t>
      </w:r>
    </w:p>
    <w:p>
      <w:pPr>
        <w:keepNext w:val="0"/>
        <w:keepLines w:val="0"/>
        <w:pageBreakBefore w:val="0"/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项目生活垃圾，委托当地环卫部门外运处理。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福建省瀚海船业有限公司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20" w:firstLineChars="2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2023年02月22日</w:t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3F83D"/>
    <w:multiLevelType w:val="singleLevel"/>
    <w:tmpl w:val="0BF3F83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OGE3YmVkMGNmMDNhNTYzMWUzZjhjZGY3ZjdlNTYifQ=="/>
  </w:docVars>
  <w:rsids>
    <w:rsidRoot w:val="2D313987"/>
    <w:rsid w:val="042042C5"/>
    <w:rsid w:val="05F45A09"/>
    <w:rsid w:val="0788465B"/>
    <w:rsid w:val="0BFE313E"/>
    <w:rsid w:val="103A670E"/>
    <w:rsid w:val="1F7D3F22"/>
    <w:rsid w:val="1F833C2E"/>
    <w:rsid w:val="23287B89"/>
    <w:rsid w:val="2C475FE3"/>
    <w:rsid w:val="2D313987"/>
    <w:rsid w:val="2EED2E72"/>
    <w:rsid w:val="32D85BE7"/>
    <w:rsid w:val="3D3B749E"/>
    <w:rsid w:val="3EB05C6A"/>
    <w:rsid w:val="425F073A"/>
    <w:rsid w:val="4724337C"/>
    <w:rsid w:val="52FD1026"/>
    <w:rsid w:val="5D017965"/>
    <w:rsid w:val="5F4D50E3"/>
    <w:rsid w:val="5FC058B5"/>
    <w:rsid w:val="6FE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7155"/>
      </w:tabs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宋体" w:cs="Times New Roman"/>
      <w:snapToGrid w:val="0"/>
      <w:kern w:val="0"/>
      <w:sz w:val="24"/>
      <w:szCs w:val="24"/>
    </w:rPr>
  </w:style>
  <w:style w:type="paragraph" w:styleId="3">
    <w:name w:val="Body Text Indent"/>
    <w:basedOn w:val="1"/>
    <w:next w:val="2"/>
    <w:unhideWhenUsed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Plain Text"/>
    <w:basedOn w:val="1"/>
    <w:next w:val="4"/>
    <w:qFormat/>
    <w:uiPriority w:val="99"/>
    <w:pPr>
      <w:widowControl w:val="0"/>
      <w:jc w:val="both"/>
    </w:pPr>
    <w:rPr>
      <w:rFonts w:ascii="宋体" w:hAnsi="Courier New"/>
      <w:kern w:val="2"/>
      <w:sz w:val="21"/>
      <w:szCs w:val="20"/>
      <w:lang w:eastAsia="zh-CN" w:bidi="ar-SA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1250</Words>
  <Characters>1426</Characters>
  <Lines>0</Lines>
  <Paragraphs>0</Paragraphs>
  <TotalTime>18</TotalTime>
  <ScaleCrop>false</ScaleCrop>
  <LinksUpToDate>false</LinksUpToDate>
  <CharactersWithSpaces>1429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2023-02-20T02:46:00Z</dcterms:created>
  <dc:creator>^O^梅</dc:creator>
  <cp:lastModifiedBy>^O^梅</cp:lastModifiedBy>
  <dcterms:modified xsi:type="dcterms:W3CDTF">2023-02-22T07:21:55Z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ECA3AFA84B4041C3AB7F90DFB1144638</vt:lpwstr>
  </property>
</Properties>
</file>